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 3"/>
        <w:spacing w:line="280" w:lineRule="exact"/>
        <w:rPr>
          <w:rFonts w:ascii="Arial" w:cs="Arial" w:hAnsi="Arial" w:eastAsia="Arial"/>
          <w:caps w:val="0"/>
          <w:smallCaps w:val="0"/>
          <w:sz w:val="30"/>
          <w:szCs w:val="30"/>
        </w:rPr>
      </w:pPr>
      <w:r>
        <w:rPr>
          <w:rFonts w:ascii="Arial" w:hAnsi="Arial"/>
          <w:caps w:val="0"/>
          <w:smallCaps w:val="0"/>
          <w:sz w:val="30"/>
          <w:szCs w:val="30"/>
          <w:rtl w:val="0"/>
          <w:lang w:val="fr-FR"/>
        </w:rPr>
        <w:t>Proposition de Stage de Master (M2)</w:t>
      </w:r>
    </w:p>
    <w:p>
      <w:pPr>
        <w:pStyle w:val="Titre 1"/>
        <w:spacing w:line="280" w:lineRule="exact"/>
        <w:ind w:left="0" w:firstLine="0"/>
        <w:jc w:val="center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fr-FR"/>
        </w:rPr>
        <w:t>Master BMC</w:t>
      </w:r>
    </w:p>
    <w:p>
      <w:pPr>
        <w:pStyle w:val="Titre 3"/>
        <w:spacing w:line="280" w:lineRule="exact"/>
        <w:rPr>
          <w:rFonts w:ascii="Arial" w:cs="Arial" w:hAnsi="Arial" w:eastAsia="Arial"/>
          <w:caps w:val="0"/>
          <w:smallCaps w:val="0"/>
          <w:sz w:val="20"/>
          <w:szCs w:val="20"/>
        </w:rPr>
      </w:pPr>
      <w:r>
        <w:rPr>
          <w:rFonts w:ascii="Arial" w:hAnsi="Arial"/>
          <w:caps w:val="0"/>
          <w:smallCaps w:val="0"/>
          <w:sz w:val="20"/>
          <w:szCs w:val="20"/>
          <w:rtl w:val="0"/>
          <w:lang w:val="fr-FR"/>
        </w:rPr>
        <w:t>Universit</w:t>
      </w:r>
      <w:r>
        <w:rPr>
          <w:rFonts w:ascii="Arial" w:hAnsi="Arial" w:hint="default"/>
          <w:caps w:val="0"/>
          <w:smallCaps w:val="0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caps w:val="0"/>
          <w:smallCaps w:val="0"/>
          <w:sz w:val="20"/>
          <w:szCs w:val="20"/>
          <w:rtl w:val="0"/>
          <w:lang w:val="fr-FR"/>
        </w:rPr>
        <w:t>de Paris - UFR des Sciences du Vivant</w:t>
      </w:r>
    </w:p>
    <w:p>
      <w:pPr>
        <w:pStyle w:val="Body Text Indent"/>
        <w:spacing w:line="280" w:lineRule="exact"/>
        <w:jc w:val="center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fr-FR"/>
        </w:rPr>
        <w:t>Conventions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 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fr-FR"/>
        </w:rPr>
        <w:t>: Sorbonne Universit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fr-FR"/>
        </w:rPr>
        <w:t>, Universit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fr-FR"/>
        </w:rPr>
        <w:t>Sorbonne Paris Nord, Universit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fr-FR"/>
        </w:rPr>
        <w:t>Paris Saclay,</w:t>
      </w:r>
    </w:p>
    <w:p>
      <w:pPr>
        <w:pStyle w:val="Body Text Indent"/>
        <w:spacing w:line="280" w:lineRule="exact"/>
        <w:jc w:val="center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 Mus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fr-FR"/>
        </w:rPr>
        <w:t>um National d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fr-FR"/>
        </w:rPr>
        <w:t>Histoire Naturelle, Institut Pasteur</w:t>
      </w:r>
    </w:p>
    <w:p>
      <w:pPr>
        <w:pStyle w:val="Normal.0"/>
        <w:spacing w:line="280" w:lineRule="exact"/>
        <w:ind w:left="562" w:firstLine="0"/>
        <w:rPr>
          <w:rFonts w:ascii="Arial" w:cs="Arial" w:hAnsi="Arial" w:eastAsia="Arial"/>
          <w:b w:val="1"/>
          <w:bCs w:val="1"/>
          <w:smallCaps w:val="1"/>
          <w:sz w:val="12"/>
          <w:szCs w:val="12"/>
        </w:rPr>
      </w:pPr>
    </w:p>
    <w:p>
      <w:pPr>
        <w:pStyle w:val="Normal.0"/>
        <w:spacing w:line="280" w:lineRule="exact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Equipe d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Accueil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:</w:t>
      </w:r>
    </w:p>
    <w:p>
      <w:pPr>
        <w:pStyle w:val="Normal.0"/>
        <w:spacing w:line="340" w:lineRule="exac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Intitul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de l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Unit</w:t>
      </w:r>
      <w:r>
        <w:rPr>
          <w:rFonts w:ascii="Arial" w:hAnsi="Arial" w:hint="default"/>
          <w:sz w:val="22"/>
          <w:szCs w:val="22"/>
          <w:rtl w:val="0"/>
          <w:lang w:val="fr-FR"/>
        </w:rPr>
        <w:t>é </w:t>
      </w:r>
      <w:r>
        <w:rPr>
          <w:rFonts w:ascii="Arial" w:hAnsi="Arial"/>
          <w:sz w:val="22"/>
          <w:szCs w:val="22"/>
          <w:rtl w:val="0"/>
          <w:lang w:val="fr-FR"/>
        </w:rPr>
        <w:t xml:space="preserve">: </w:t>
      </w:r>
      <w:r>
        <w:rPr>
          <w:rFonts w:ascii="Arial" w:hAnsi="Arial"/>
          <w:sz w:val="22"/>
          <w:szCs w:val="22"/>
          <w:rtl w:val="0"/>
          <w:lang w:val="en-US"/>
        </w:rPr>
        <w:t>Platform de Cristallographie</w:t>
      </w:r>
    </w:p>
    <w:p>
      <w:pPr>
        <w:pStyle w:val="Normal.0"/>
        <w:tabs>
          <w:tab w:val="left" w:pos="1660"/>
          <w:tab w:val="center" w:pos="9600"/>
        </w:tabs>
        <w:spacing w:line="340" w:lineRule="exac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Nom du Responsable de l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Unit</w:t>
      </w:r>
      <w:r>
        <w:rPr>
          <w:rFonts w:ascii="Arial" w:hAnsi="Arial" w:hint="default"/>
          <w:sz w:val="22"/>
          <w:szCs w:val="22"/>
          <w:rtl w:val="0"/>
          <w:lang w:val="fr-FR"/>
        </w:rPr>
        <w:t>é </w:t>
      </w:r>
      <w:r>
        <w:rPr>
          <w:rFonts w:ascii="Arial" w:hAnsi="Arial"/>
          <w:sz w:val="22"/>
          <w:szCs w:val="22"/>
          <w:rtl w:val="0"/>
          <w:lang w:val="fr-FR"/>
        </w:rPr>
        <w:t xml:space="preserve">: </w:t>
      </w:r>
      <w:r>
        <w:rPr>
          <w:rFonts w:ascii="Arial" w:hAnsi="Arial"/>
          <w:sz w:val="22"/>
          <w:szCs w:val="22"/>
          <w:rtl w:val="0"/>
          <w:lang w:val="en-US"/>
        </w:rPr>
        <w:t>Ahmed Haouz</w:t>
      </w:r>
    </w:p>
    <w:p>
      <w:pPr>
        <w:pStyle w:val="Normal.0"/>
        <w:tabs>
          <w:tab w:val="left" w:pos="1660"/>
          <w:tab w:val="center" w:pos="9600"/>
        </w:tabs>
        <w:spacing w:line="340" w:lineRule="exac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Nom du Responsable de l</w:t>
      </w:r>
      <w:r>
        <w:rPr>
          <w:rFonts w:ascii="Arial" w:hAnsi="Arial" w:hint="default"/>
          <w:sz w:val="22"/>
          <w:szCs w:val="22"/>
          <w:rtl w:val="0"/>
          <w:lang w:val="fr-FR"/>
        </w:rPr>
        <w:t>’É</w:t>
      </w:r>
      <w:r>
        <w:rPr>
          <w:rFonts w:ascii="Arial" w:hAnsi="Arial"/>
          <w:sz w:val="22"/>
          <w:szCs w:val="22"/>
          <w:rtl w:val="0"/>
          <w:lang w:val="fr-FR"/>
        </w:rPr>
        <w:t>quipe</w:t>
      </w:r>
      <w:r>
        <w:rPr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Fonts w:ascii="Arial" w:hAnsi="Arial"/>
          <w:sz w:val="22"/>
          <w:szCs w:val="22"/>
          <w:rtl w:val="0"/>
          <w:lang w:val="fr-FR"/>
        </w:rPr>
        <w:t xml:space="preserve">: </w:t>
      </w:r>
      <w:r>
        <w:rPr>
          <w:rFonts w:ascii="Arial" w:hAnsi="Arial"/>
          <w:sz w:val="22"/>
          <w:szCs w:val="22"/>
          <w:rtl w:val="0"/>
          <w:lang w:val="en-US"/>
        </w:rPr>
        <w:t>Ariel Mechaly</w:t>
      </w:r>
    </w:p>
    <w:p>
      <w:pPr>
        <w:pStyle w:val="Retrait corps de texte 2"/>
        <w:spacing w:line="340" w:lineRule="exact"/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Adresse : </w:t>
      </w:r>
      <w:r>
        <w:rPr>
          <w:rFonts w:ascii="Arial" w:hAnsi="Arial"/>
          <w:sz w:val="22"/>
          <w:szCs w:val="22"/>
          <w:rtl w:val="0"/>
          <w:lang w:val="en-US"/>
        </w:rPr>
        <w:t>Institut Pasteur</w:t>
      </w:r>
    </w:p>
    <w:p>
      <w:pPr>
        <w:pStyle w:val="Retrait corps de texte 2"/>
        <w:spacing w:line="340" w:lineRule="exact"/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               25 rue de Dr. Roux</w:t>
      </w:r>
    </w:p>
    <w:p>
      <w:pPr>
        <w:pStyle w:val="Retrait corps de texte 2"/>
        <w:spacing w:line="340" w:lineRule="exact"/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               75015, Paris</w:t>
        <w:tab/>
      </w:r>
    </w:p>
    <w:p>
      <w:pPr>
        <w:pStyle w:val="Retrait corps de texte 2"/>
        <w:spacing w:line="340" w:lineRule="exact"/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Responsable de l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 xml:space="preserve">encadrement : </w:t>
      </w:r>
      <w:r>
        <w:rPr>
          <w:rFonts w:ascii="Arial" w:hAnsi="Arial"/>
          <w:sz w:val="22"/>
          <w:szCs w:val="22"/>
          <w:rtl w:val="0"/>
          <w:lang w:val="en-US"/>
        </w:rPr>
        <w:t>Ariel Mechaly</w:t>
      </w:r>
    </w:p>
    <w:p>
      <w:pPr>
        <w:pStyle w:val="Retrait corps de texte 2"/>
        <w:tabs>
          <w:tab w:val="clear" w:pos="9600"/>
        </w:tabs>
        <w:spacing w:line="340" w:lineRule="exact"/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>T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l</w:t>
      </w:r>
      <w:r>
        <w:rPr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Fonts w:ascii="Arial" w:hAnsi="Arial"/>
          <w:sz w:val="22"/>
          <w:szCs w:val="22"/>
          <w:rtl w:val="0"/>
          <w:lang w:val="en-US"/>
        </w:rPr>
        <w:t xml:space="preserve">:   </w:t>
      </w:r>
      <w:r>
        <w:rPr>
          <w:rtl w:val="0"/>
          <w:lang w:val="fr-FR"/>
        </w:rPr>
        <w:t>+33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144389457</w:t>
      </w:r>
      <w:r>
        <w:tab/>
        <w:tab/>
      </w:r>
      <w:r>
        <w:rPr>
          <w:rFonts w:ascii="Arial" w:hAnsi="Arial"/>
          <w:sz w:val="22"/>
          <w:szCs w:val="22"/>
          <w:rtl w:val="0"/>
          <w:lang w:val="fr-FR"/>
        </w:rPr>
        <w:t xml:space="preserve"> Fax</w:t>
      </w:r>
      <w:r>
        <w:rPr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Fonts w:ascii="Arial" w:hAnsi="Arial"/>
          <w:sz w:val="22"/>
          <w:szCs w:val="22"/>
          <w:rtl w:val="0"/>
          <w:lang w:val="fr-FR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……………………… </w:t>
      </w:r>
      <w:r>
        <w:rPr>
          <w:rFonts w:ascii="Arial" w:hAnsi="Arial"/>
          <w:sz w:val="22"/>
          <w:szCs w:val="22"/>
          <w:rtl w:val="0"/>
          <w:lang w:val="fr-FR"/>
        </w:rPr>
        <w:t xml:space="preserve">E-mail:  </w:t>
      </w:r>
      <w:r>
        <w:rPr>
          <w:rFonts w:ascii="Arial" w:hAnsi="Arial"/>
          <w:sz w:val="22"/>
          <w:szCs w:val="22"/>
          <w:rtl w:val="0"/>
          <w:lang w:val="en-US"/>
        </w:rPr>
        <w:t>amechaly@pasteur.fr</w:t>
      </w:r>
    </w:p>
    <w:p>
      <w:pPr>
        <w:pStyle w:val="Retrait corps de texte 2"/>
        <w:spacing w:line="340" w:lineRule="exact"/>
        <w:jc w:val="center"/>
        <w:rPr>
          <w:rFonts w:ascii="Arial" w:cs="Arial" w:hAnsi="Arial" w:eastAsia="Arial"/>
          <w:sz w:val="10"/>
          <w:szCs w:val="10"/>
        </w:rPr>
      </w:pPr>
    </w:p>
    <w:p>
      <w:pPr>
        <w:pStyle w:val="Retrait corps de texte 2"/>
        <w:spacing w:line="340" w:lineRule="exact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 xml:space="preserve">9 Parcours de M2 </w:t>
      </w:r>
    </w:p>
    <w:p>
      <w:pPr>
        <w:pStyle w:val="Retrait corps de texte 2"/>
        <w:spacing w:line="340" w:lineRule="exact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 xml:space="preserve">(plusieurs parcours peuvent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ê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tre choisis)</w:t>
      </w:r>
    </w:p>
    <w:p>
      <w:pPr>
        <w:pStyle w:val="Retrait corps de texte 2"/>
        <w:spacing w:line="340" w:lineRule="exact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Titre 6"/>
        <w:spacing w:line="240" w:lineRule="auto"/>
        <w:jc w:val="left"/>
        <w:rPr>
          <w:b w:val="1"/>
          <w:bCs w:val="1"/>
          <w:i w:val="0"/>
          <w:iCs w:val="0"/>
          <w:sz w:val="28"/>
          <w:szCs w:val="28"/>
        </w:rPr>
      </w:pPr>
      <w:r>
        <w:rPr>
          <w:b w:val="1"/>
          <w:bCs w:val="1"/>
          <w:i w:val="0"/>
          <w:iCs w:val="0"/>
          <w:sz w:val="28"/>
          <w:szCs w:val="28"/>
          <w:rtl w:val="0"/>
          <w:lang w:val="fr-FR"/>
        </w:rPr>
        <w:t>- Biologie mol</w:t>
      </w:r>
      <w:r>
        <w:rPr>
          <w:b w:val="1"/>
          <w:bCs w:val="1"/>
          <w:i w:val="0"/>
          <w:iCs w:val="0"/>
          <w:sz w:val="28"/>
          <w:szCs w:val="28"/>
          <w:rtl w:val="0"/>
          <w:lang w:val="fr-FR"/>
        </w:rPr>
        <w:t>é</w:t>
      </w:r>
      <w:r>
        <w:rPr>
          <w:b w:val="1"/>
          <w:bCs w:val="1"/>
          <w:i w:val="0"/>
          <w:iCs w:val="0"/>
          <w:sz w:val="28"/>
          <w:szCs w:val="28"/>
          <w:rtl w:val="0"/>
          <w:lang w:val="fr-FR"/>
        </w:rPr>
        <w:t>culaire, cellulaire et fonctionnelle de l'h</w:t>
      </w:r>
      <w:r>
        <w:rPr>
          <w:b w:val="1"/>
          <w:bCs w:val="1"/>
          <w:i w:val="0"/>
          <w:iCs w:val="0"/>
          <w:sz w:val="28"/>
          <w:szCs w:val="28"/>
          <w:rtl w:val="0"/>
          <w:lang w:val="fr-FR"/>
        </w:rPr>
        <w:t>é</w:t>
      </w:r>
      <w:r>
        <w:rPr>
          <w:b w:val="1"/>
          <w:bCs w:val="1"/>
          <w:i w:val="0"/>
          <w:iCs w:val="0"/>
          <w:sz w:val="28"/>
          <w:szCs w:val="28"/>
          <w:rtl w:val="0"/>
          <w:lang w:val="fr-FR"/>
        </w:rPr>
        <w:t>matopo</w:t>
      </w:r>
      <w:r>
        <w:rPr>
          <w:b w:val="1"/>
          <w:bCs w:val="1"/>
          <w:i w:val="0"/>
          <w:iCs w:val="0"/>
          <w:sz w:val="28"/>
          <w:szCs w:val="28"/>
          <w:rtl w:val="0"/>
          <w:lang w:val="fr-FR"/>
        </w:rPr>
        <w:t>ïè</w:t>
      </w:r>
      <w:r>
        <w:rPr>
          <w:b w:val="1"/>
          <w:bCs w:val="1"/>
          <w:i w:val="0"/>
          <w:iCs w:val="0"/>
          <w:sz w:val="28"/>
          <w:szCs w:val="28"/>
          <w:rtl w:val="0"/>
          <w:lang w:val="fr-FR"/>
        </w:rPr>
        <w:t xml:space="preserve">se 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fr-FR"/>
        </w:rPr>
        <w:t>◻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Calibri" w:cs="Calibri" w:hAnsi="Calibri" w:eastAsia="Calibri"/>
          <w:rtl w:val="0"/>
          <w:lang w:val="fr-FR"/>
        </w:rPr>
        <w:t>Responsables</w:t>
      </w:r>
      <w:r>
        <w:rPr>
          <w:rFonts w:ascii="Arial" w:hAnsi="Arial"/>
          <w:rtl w:val="0"/>
          <w:lang w:val="fr-FR"/>
        </w:rPr>
        <w:t xml:space="preserve">: </w:t>
      </w:r>
      <w:r>
        <w:rPr>
          <w:rFonts w:ascii="Calibri" w:cs="Calibri" w:hAnsi="Calibri" w:eastAsia="Calibri"/>
          <w:rtl w:val="0"/>
          <w:lang w:val="fr-FR"/>
        </w:rPr>
        <w:t>S</w:t>
      </w:r>
      <w:r>
        <w:rPr>
          <w:rFonts w:ascii="Arial" w:hAnsi="Arial"/>
          <w:rtl w:val="0"/>
          <w:lang w:val="fr-FR"/>
        </w:rPr>
        <w:t xml:space="preserve">. </w:t>
      </w:r>
      <w:r>
        <w:rPr>
          <w:rFonts w:ascii="Calibri" w:cs="Calibri" w:hAnsi="Calibri" w:eastAsia="Calibri"/>
          <w:rtl w:val="0"/>
          <w:lang w:val="fr-FR"/>
        </w:rPr>
        <w:t>Giraudier</w:t>
      </w:r>
      <w:r>
        <w:rPr>
          <w:rFonts w:ascii="Arial" w:hAnsi="Arial"/>
          <w:rtl w:val="0"/>
          <w:lang w:val="fr-FR"/>
        </w:rPr>
        <w:t xml:space="preserve">, </w:t>
      </w:r>
      <w:r>
        <w:rPr>
          <w:rFonts w:ascii="Calibri" w:cs="Calibri" w:hAnsi="Calibri" w:eastAsia="Calibri"/>
          <w:rtl w:val="0"/>
          <w:lang w:val="fr-FR"/>
        </w:rPr>
        <w:t>N</w:t>
      </w:r>
      <w:r>
        <w:rPr>
          <w:rFonts w:ascii="Arial" w:hAnsi="Arial"/>
          <w:rtl w:val="0"/>
          <w:lang w:val="fr-FR"/>
        </w:rPr>
        <w:t xml:space="preserve">. </w:t>
      </w:r>
      <w:r>
        <w:rPr>
          <w:rFonts w:ascii="Calibri" w:cs="Calibri" w:hAnsi="Calibri" w:eastAsia="Calibri"/>
          <w:rtl w:val="0"/>
          <w:lang w:val="fr-FR"/>
        </w:rPr>
        <w:t>Dulphy</w:t>
      </w:r>
      <w:r>
        <w:rPr>
          <w:rFonts w:ascii="Arial" w:hAnsi="Arial"/>
          <w:rtl w:val="0"/>
          <w:lang w:val="fr-FR"/>
        </w:rPr>
        <w:t xml:space="preserve">, </w:t>
      </w:r>
      <w:r>
        <w:rPr>
          <w:rFonts w:ascii="Calibri" w:cs="Calibri" w:hAnsi="Calibri" w:eastAsia="Calibri"/>
          <w:rtl w:val="0"/>
          <w:lang w:val="fr-FR"/>
        </w:rPr>
        <w:t>E</w:t>
      </w:r>
      <w:r>
        <w:rPr>
          <w:rFonts w:ascii="Arial" w:hAnsi="Arial"/>
          <w:rtl w:val="0"/>
          <w:lang w:val="fr-FR"/>
        </w:rPr>
        <w:t xml:space="preserve">. </w:t>
      </w:r>
      <w:r>
        <w:rPr>
          <w:rFonts w:ascii="Calibri" w:cs="Calibri" w:hAnsi="Calibri" w:eastAsia="Calibri"/>
          <w:rtl w:val="0"/>
          <w:lang w:val="fr-FR"/>
        </w:rPr>
        <w:t>Lauret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tabs>
          <w:tab w:val="left" w:pos="567"/>
        </w:tabs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- Biomol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cules, biologie et pathologie mol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culaires</w:t>
        <w:tab/>
        <w:tab/>
        <w:tab/>
        <w:t xml:space="preserve"> </w:t>
      </w:r>
      <w:r>
        <w:rPr>
          <w:b w:val="1"/>
          <w:bCs w:val="1"/>
          <w:sz w:val="28"/>
          <w:szCs w:val="28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fr-FR"/>
        </w:rPr>
        <w:t>◻</w:t>
      </w:r>
      <w:r>
        <w:rPr>
          <w:rFonts w:ascii="Wingdings" w:hAnsi="Wingdings"/>
          <w:sz w:val="28"/>
          <w:szCs w:val="28"/>
          <w:rtl w:val="0"/>
          <w:lang w:val="en-US"/>
        </w:rPr>
        <w:t>x</w:t>
      </w: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fr-FR"/>
        </w:rPr>
        <w:t>Responsables: JM. Dupret, F. Rodrigues-Lima</w:t>
      </w:r>
    </w:p>
    <w:p>
      <w:pPr>
        <w:pStyle w:val="Pied de page"/>
        <w:tabs>
          <w:tab w:val="clear" w:pos="4536"/>
          <w:tab w:val="clear" w:pos="9072"/>
        </w:tabs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Pied de page"/>
        <w:tabs>
          <w:tab w:val="clear" w:pos="4536"/>
          <w:tab w:val="clear" w:pos="9072"/>
        </w:tabs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- Biologie et d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veloppment cellulaires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 xml:space="preserve">: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contactez directement les responsables</w:t>
      </w: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fr-FR"/>
        </w:rPr>
        <w:t>Responsables: A. Guichet, A. Benmerah</w:t>
      </w:r>
    </w:p>
    <w:p>
      <w:pPr>
        <w:pStyle w:val="Pied de page"/>
        <w:tabs>
          <w:tab w:val="clear" w:pos="4536"/>
          <w:tab w:val="clear" w:pos="9072"/>
        </w:tabs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Pied de page"/>
        <w:tabs>
          <w:tab w:val="clear" w:pos="4536"/>
          <w:tab w:val="clear" w:pos="9072"/>
        </w:tabs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- Inflammation et maladies inflammatoires</w:t>
        <w:tab/>
        <w:t xml:space="preserve"> </w:t>
        <w:tab/>
        <w:tab/>
        <w:tab/>
        <w:tab/>
      </w:r>
      <w:r>
        <w:rPr>
          <w:b w:val="1"/>
          <w:bCs w:val="1"/>
          <w:sz w:val="28"/>
          <w:szCs w:val="28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fr-FR"/>
        </w:rPr>
        <w:t>◻</w:t>
      </w: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fr-FR"/>
        </w:rPr>
        <w:t>Responsables: R. Monteiro, L. Mouthon</w:t>
      </w:r>
    </w:p>
    <w:p>
      <w:pPr>
        <w:pStyle w:val="Normal.0"/>
        <w:rPr>
          <w:sz w:val="22"/>
          <w:szCs w:val="22"/>
        </w:rPr>
      </w:pPr>
    </w:p>
    <w:p>
      <w:pPr>
        <w:pStyle w:val="Pied de page"/>
        <w:tabs>
          <w:tab w:val="clear" w:pos="4536"/>
          <w:tab w:val="clear" w:pos="9072"/>
        </w:tabs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- Bioth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rapeutiques: Conception et applications</w:t>
        <w:tab/>
        <w:tab/>
        <w:tab/>
      </w:r>
      <w:r>
        <w:rPr>
          <w:b w:val="1"/>
          <w:bCs w:val="1"/>
          <w:sz w:val="28"/>
          <w:szCs w:val="28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fr-FR"/>
        </w:rPr>
        <w:t>◻</w:t>
      </w: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fr-FR"/>
        </w:rPr>
        <w:t>Responsables: I. Garcia-Verdugo, JM. Sallenave</w:t>
      </w:r>
    </w:p>
    <w:p>
      <w:pPr>
        <w:pStyle w:val="Pied de page"/>
        <w:tabs>
          <w:tab w:val="clear" w:pos="4536"/>
          <w:tab w:val="clear" w:pos="9072"/>
        </w:tabs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Pied de page"/>
        <w:tabs>
          <w:tab w:val="clear" w:pos="4536"/>
          <w:tab w:val="clear" w:pos="9072"/>
        </w:tabs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- Immunologie et Immunopathologies</w:t>
        <w:tab/>
        <w:tab/>
        <w:tab/>
        <w:tab/>
        <w:tab/>
      </w:r>
      <w:r>
        <w:rPr>
          <w:b w:val="1"/>
          <w:bCs w:val="1"/>
          <w:sz w:val="28"/>
          <w:szCs w:val="28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fr-FR"/>
        </w:rPr>
        <w:t>◻</w:t>
      </w: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fr-FR"/>
        </w:rPr>
        <w:t>Responsables: M. Viguier, E. Tartour</w:t>
      </w:r>
    </w:p>
    <w:p>
      <w:pPr>
        <w:pStyle w:val="Normal.0"/>
        <w:rPr>
          <w:sz w:val="22"/>
          <w:szCs w:val="22"/>
        </w:rPr>
      </w:pPr>
    </w:p>
    <w:p>
      <w:pPr>
        <w:pStyle w:val="Pied de page"/>
        <w:tabs>
          <w:tab w:val="clear" w:pos="4536"/>
          <w:tab w:val="clear" w:pos="9072"/>
        </w:tabs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- Microbiologie</w:t>
        <w:tab/>
        <w:tab/>
        <w:tab/>
        <w:tab/>
        <w:tab/>
        <w:tab/>
        <w:tab/>
        <w:tab/>
        <w:tab/>
        <w:tab/>
      </w:r>
      <w:r>
        <w:rPr>
          <w:b w:val="1"/>
          <w:bCs w:val="1"/>
          <w:sz w:val="28"/>
          <w:szCs w:val="28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fr-FR"/>
        </w:rPr>
        <w:t>◻</w:t>
      </w: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fr-FR"/>
        </w:rPr>
        <w:t>Responsables: I. Martin-Verstraete, X. Nassif</w:t>
      </w:r>
    </w:p>
    <w:p>
      <w:pPr>
        <w:pStyle w:val="Normal.0"/>
        <w:rPr>
          <w:sz w:val="22"/>
          <w:szCs w:val="22"/>
        </w:rPr>
      </w:pPr>
    </w:p>
    <w:p>
      <w:pPr>
        <w:pStyle w:val="Pied de page"/>
        <w:tabs>
          <w:tab w:val="clear" w:pos="4536"/>
          <w:tab w:val="clear" w:pos="9072"/>
        </w:tabs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- Virologie</w:t>
        <w:tab/>
        <w:tab/>
        <w:tab/>
        <w:tab/>
        <w:tab/>
        <w:tab/>
        <w:tab/>
        <w:tab/>
        <w:tab/>
        <w:tab/>
        <w:tab/>
      </w:r>
      <w:r>
        <w:rPr>
          <w:b w:val="1"/>
          <w:bCs w:val="1"/>
          <w:sz w:val="28"/>
          <w:szCs w:val="28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fr-FR"/>
        </w:rPr>
        <w:t>◻</w:t>
      </w: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fr-FR"/>
        </w:rPr>
        <w:t>Responsables: S. van der Werf, F. Rozenberg</w:t>
      </w:r>
    </w:p>
    <w:p>
      <w:pPr>
        <w:pStyle w:val="Normal.0"/>
        <w:rPr>
          <w:sz w:val="22"/>
          <w:szCs w:val="22"/>
        </w:rPr>
      </w:pPr>
    </w:p>
    <w:p>
      <w:pPr>
        <w:pStyle w:val="Pied de page"/>
        <w:tabs>
          <w:tab w:val="clear" w:pos="4536"/>
          <w:tab w:val="clear" w:pos="9072"/>
        </w:tabs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- Microbiologie et g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nie biologique</w:t>
        <w:tab/>
        <w:tab/>
        <w:tab/>
        <w:tab/>
        <w:tab/>
        <w:tab/>
      </w:r>
      <w:r>
        <w:rPr>
          <w:b w:val="1"/>
          <w:bCs w:val="1"/>
          <w:sz w:val="28"/>
          <w:szCs w:val="28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fr-FR"/>
        </w:rPr>
        <w:t>◻</w:t>
      </w: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fr-FR"/>
        </w:rPr>
        <w:t>Responsables: O. Dussurget</w:t>
      </w: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Titre du sujet de recherche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: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u w:color="ffffff"/>
          <w:lang w:val="en-US"/>
        </w:rPr>
      </w:pPr>
      <w:r>
        <w:rPr>
          <w:rFonts w:ascii="Calibri" w:cs="Calibri" w:hAnsi="Calibri" w:eastAsia="Calibri"/>
          <w:b w:val="1"/>
          <w:bCs w:val="1"/>
          <w:u w:color="ffffff"/>
          <w:rtl w:val="0"/>
          <w:lang w:val="en-US"/>
        </w:rPr>
        <w:t>Structural studies of histidine kinases involved in enterobacteria drug resistance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sum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du projet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(environ une demi-page)</w:t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  <w:u w:color="ffffff"/>
          <w:lang w:val="en-US"/>
        </w:rPr>
      </w:pPr>
      <w:r>
        <w:rPr>
          <w:rFonts w:ascii="Calibri" w:cs="Calibri" w:hAnsi="Calibri" w:eastAsia="Calibri"/>
          <w:sz w:val="22"/>
          <w:szCs w:val="22"/>
          <w:u w:color="ffffff"/>
          <w:rtl w:val="0"/>
          <w:lang w:val="en-US"/>
        </w:rPr>
        <w:t>Sensor h</w:t>
      </w:r>
      <w:r>
        <w:rPr>
          <w:rFonts w:ascii="Calibri" w:cs="Calibri" w:hAnsi="Calibri" w:eastAsia="Calibri"/>
          <w:sz w:val="22"/>
          <w:szCs w:val="22"/>
          <w:u w:color="ffffff"/>
          <w:rtl w:val="0"/>
          <w:lang w:val="en-US"/>
        </w:rPr>
        <w:t xml:space="preserve">istidine </w:t>
      </w:r>
      <w:r>
        <w:rPr>
          <w:rFonts w:ascii="Calibri" w:cs="Calibri" w:hAnsi="Calibri" w:eastAsia="Calibri"/>
          <w:sz w:val="22"/>
          <w:szCs w:val="22"/>
          <w:u w:color="ffffff"/>
          <w:rtl w:val="0"/>
          <w:lang w:val="en-US"/>
        </w:rPr>
        <w:t>k</w:t>
      </w:r>
      <w:r>
        <w:rPr>
          <w:rFonts w:ascii="Calibri" w:cs="Calibri" w:hAnsi="Calibri" w:eastAsia="Calibri"/>
          <w:sz w:val="22"/>
          <w:szCs w:val="22"/>
          <w:u w:color="ffffff"/>
          <w:rtl w:val="0"/>
          <w:lang w:val="en-US"/>
        </w:rPr>
        <w:t>inases are me</w:t>
      </w:r>
      <w:r>
        <w:rPr>
          <w:rFonts w:ascii="Calibri" w:cs="Calibri" w:hAnsi="Calibri" w:eastAsia="Calibri"/>
          <w:sz w:val="22"/>
          <w:szCs w:val="22"/>
          <w:u w:color="ffffff"/>
          <w:rtl w:val="0"/>
          <w:lang w:val="en-US"/>
        </w:rPr>
        <w:t>mbra</w:t>
      </w:r>
      <w:r>
        <w:rPr>
          <w:rFonts w:ascii="Calibri" w:cs="Calibri" w:hAnsi="Calibri" w:eastAsia="Calibri"/>
          <w:sz w:val="22"/>
          <w:szCs w:val="22"/>
          <w:u w:color="ffffff"/>
          <w:rtl w:val="0"/>
          <w:lang w:val="en-US"/>
        </w:rPr>
        <w:t xml:space="preserve">ne-anchored receptors that </w:t>
      </w:r>
      <w:r>
        <w:rPr>
          <w:rFonts w:ascii="Calibri" w:cs="Calibri" w:hAnsi="Calibri" w:eastAsia="Calibri"/>
          <w:sz w:val="22"/>
          <w:szCs w:val="22"/>
          <w:u w:color="ffffff"/>
          <w:rtl w:val="0"/>
          <w:lang w:val="en-US"/>
        </w:rPr>
        <w:t>meditate</w:t>
      </w:r>
      <w:r>
        <w:rPr>
          <w:rFonts w:ascii="Calibri" w:cs="Calibri" w:hAnsi="Calibri" w:eastAsia="Calibri"/>
          <w:sz w:val="22"/>
          <w:szCs w:val="22"/>
          <w:u w:color="ffffff"/>
          <w:rtl w:val="0"/>
          <w:lang w:val="en-US"/>
        </w:rPr>
        <w:t xml:space="preserve"> many adaptive responses in </w:t>
      </w:r>
      <w:r>
        <w:rPr>
          <w:rFonts w:ascii="Calibri" w:cs="Calibri" w:hAnsi="Calibri" w:eastAsia="Calibri"/>
          <w:sz w:val="22"/>
          <w:szCs w:val="22"/>
          <w:u w:color="ffffff"/>
          <w:rtl w:val="0"/>
          <w:lang w:val="en-US"/>
        </w:rPr>
        <w:t>bacteria, including pathogens resistance to antimicrobial drugs</w:t>
      </w:r>
      <w:r>
        <w:rPr>
          <w:rFonts w:ascii="Calibri" w:cs="Calibri" w:hAnsi="Calibri" w:eastAsia="Calibri"/>
          <w:sz w:val="22"/>
          <w:szCs w:val="22"/>
          <w:u w:color="ffffff"/>
          <w:rtl w:val="0"/>
          <w:lang w:val="en-US"/>
        </w:rPr>
        <w:t>.</w:t>
      </w:r>
      <w:r>
        <w:rPr>
          <w:rFonts w:ascii="Calibri" w:cs="Calibri" w:hAnsi="Calibri" w:eastAsia="Calibri"/>
          <w:sz w:val="22"/>
          <w:szCs w:val="22"/>
          <w:u w:color="ffffff"/>
          <w:rtl w:val="0"/>
          <w:lang w:val="en-US"/>
        </w:rPr>
        <w:t xml:space="preserve"> We are interested in revealing the mechanisms of signal transduction for this important family of sensor kinases. In particular, we want to understand</w:t>
      </w:r>
      <w:r>
        <w:rPr>
          <w:rFonts w:ascii="Calibri" w:cs="Calibri" w:hAnsi="Calibri" w:eastAsia="Calibri"/>
          <w:sz w:val="22"/>
          <w:szCs w:val="22"/>
          <w:u w:color="ffffff"/>
          <w:rtl w:val="0"/>
          <w:lang w:val="en-US"/>
        </w:rPr>
        <w:t xml:space="preserve"> how </w:t>
      </w:r>
      <w:r>
        <w:rPr>
          <w:rFonts w:ascii="Calibri" w:cs="Calibri" w:hAnsi="Calibri" w:eastAsia="Calibri"/>
          <w:sz w:val="22"/>
          <w:szCs w:val="22"/>
          <w:u w:color="ffffff"/>
          <w:rtl w:val="0"/>
          <w:lang w:val="en-US"/>
        </w:rPr>
        <w:t xml:space="preserve">the </w:t>
      </w:r>
      <w:r>
        <w:rPr>
          <w:rFonts w:ascii="Calibri" w:cs="Calibri" w:hAnsi="Calibri" w:eastAsia="Calibri"/>
          <w:sz w:val="22"/>
          <w:szCs w:val="22"/>
          <w:u w:color="ffffff"/>
          <w:rtl w:val="0"/>
          <w:lang w:val="en-US"/>
        </w:rPr>
        <w:t xml:space="preserve">input signal propagates </w:t>
      </w:r>
      <w:r>
        <w:rPr>
          <w:rFonts w:ascii="Calibri" w:cs="Calibri" w:hAnsi="Calibri" w:eastAsia="Calibri"/>
          <w:sz w:val="22"/>
          <w:szCs w:val="22"/>
          <w:u w:color="ffffff"/>
          <w:rtl w:val="0"/>
          <w:lang w:val="en-US"/>
        </w:rPr>
        <w:t>across the inner membrane to modulate the different catalytic activities of the receptor</w:t>
      </w:r>
      <w:r>
        <w:rPr>
          <w:rFonts w:ascii="Calibri" w:cs="Calibri" w:hAnsi="Calibri" w:eastAsia="Calibri"/>
          <w:sz w:val="22"/>
          <w:szCs w:val="22"/>
          <w:u w:color="ffffff"/>
          <w:rtl w:val="0"/>
          <w:lang w:val="en-US"/>
        </w:rPr>
        <w:t>.</w:t>
      </w:r>
    </w:p>
    <w:p>
      <w:pPr>
        <w:pStyle w:val="Normal.0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  <w:r>
        <w:rPr>
          <w:rFonts w:ascii="Calibri" w:cs="Calibri" w:hAnsi="Calibri" w:eastAsia="Calibri"/>
          <w:sz w:val="22"/>
          <w:szCs w:val="22"/>
          <w:u w:color="ffffff"/>
          <w:rtl w:val="0"/>
          <w:lang w:val="en-US"/>
        </w:rPr>
        <w:t xml:space="preserve">This project aims to characterize at the molecular level histidine kinase receptors involved in antibiotic resistance and virulence regulation. During the internship, the student will participate in the </w:t>
      </w:r>
      <w:r>
        <w:rPr>
          <w:rFonts w:ascii="Calibri" w:cs="Calibri" w:hAnsi="Calibri" w:eastAsia="Calibri"/>
          <w:sz w:val="22"/>
          <w:szCs w:val="22"/>
          <w:u w:color="ffffff"/>
          <w:rtl w:val="0"/>
          <w:lang w:val="en-US"/>
        </w:rPr>
        <w:t>expression and purification</w:t>
      </w:r>
      <w:r>
        <w:rPr>
          <w:rFonts w:ascii="Calibri" w:cs="Calibri" w:hAnsi="Calibri" w:eastAsia="Calibri"/>
          <w:sz w:val="22"/>
          <w:szCs w:val="22"/>
          <w:u w:color="ffffff"/>
          <w:rtl w:val="0"/>
          <w:lang w:val="en-US"/>
        </w:rPr>
        <w:t xml:space="preserve"> of selected sensor kinases from enterobacteria pathogens,</w:t>
      </w:r>
      <w:r>
        <w:rPr>
          <w:rFonts w:ascii="Calibri" w:cs="Calibri" w:hAnsi="Calibri" w:eastAsia="Calibri"/>
          <w:sz w:val="22"/>
          <w:szCs w:val="22"/>
          <w:u w:color="ffffff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2"/>
          <w:szCs w:val="22"/>
          <w:u w:color="ffffff"/>
          <w:rtl w:val="0"/>
          <w:lang w:val="en-US"/>
        </w:rPr>
        <w:t xml:space="preserve">as well as in its structural characterisation by </w:t>
      </w:r>
      <w:r>
        <w:rPr>
          <w:rFonts w:ascii="Calibri" w:cs="Calibri" w:hAnsi="Calibri" w:eastAsia="Calibri"/>
          <w:sz w:val="22"/>
          <w:szCs w:val="22"/>
          <w:u w:color="ffffff"/>
          <w:rtl w:val="0"/>
          <w:lang w:val="en-US"/>
        </w:rPr>
        <w:t>X-ray crystallography</w:t>
      </w:r>
      <w:r>
        <w:rPr>
          <w:rFonts w:ascii="Calibri" w:cs="Calibri" w:hAnsi="Calibri" w:eastAsia="Calibri"/>
          <w:sz w:val="22"/>
          <w:szCs w:val="22"/>
          <w:u w:color="ffffff"/>
          <w:rtl w:val="0"/>
          <w:lang w:val="en-US"/>
        </w:rPr>
        <w:t xml:space="preserve"> and/or </w:t>
      </w:r>
      <w:r>
        <w:rPr>
          <w:rFonts w:ascii="Calibri" w:cs="Calibri" w:hAnsi="Calibri" w:eastAsia="Calibri"/>
          <w:sz w:val="22"/>
          <w:szCs w:val="22"/>
          <w:u w:color="ffffff"/>
          <w:rtl w:val="0"/>
          <w:lang w:val="en-US"/>
        </w:rPr>
        <w:t>cryo-</w:t>
      </w:r>
      <w:r>
        <w:rPr>
          <w:rFonts w:ascii="Calibri" w:cs="Calibri" w:hAnsi="Calibri" w:eastAsia="Calibri"/>
          <w:sz w:val="22"/>
          <w:szCs w:val="22"/>
          <w:u w:color="ffffff"/>
          <w:rtl w:val="0"/>
          <w:lang w:val="en-US"/>
        </w:rPr>
        <w:t>electron microscopy.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Derni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è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res Publications en lien avec le projet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: 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sz w:val="20"/>
          <w:szCs w:val="20"/>
          <w:lang w:val="en-US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1: Jacob-Dubuisson F, Mechaly A, Betton JM, Antoine R. Structural insights into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the signalling mechanisms of two-component systems. Nat Rev Microbiol. 2018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Oct;16(10):585-593. doi: 10.1038/s41579-018-0055-7. PMID: 30008469.</w:t>
      </w:r>
    </w:p>
    <w:p>
      <w:pPr>
        <w:pStyle w:val="Normal.0"/>
        <w:spacing w:line="360" w:lineRule="auto"/>
        <w:rPr>
          <w:rFonts w:ascii="Calibri" w:cs="Calibri" w:hAnsi="Calibri" w:eastAsia="Calibri"/>
          <w:sz w:val="20"/>
          <w:szCs w:val="20"/>
          <w:lang w:val="en-US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sz w:val="20"/>
          <w:szCs w:val="20"/>
          <w:lang w:val="en-US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2: Mechaly AE, Soto Diaz S, Sassoon N, Buschiazzo A, Betton JM, Alzari PM.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Structural Coupling between Autokinase and Phosphotransferase Reactions in a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Bacterial Histidine Kinase. Structure. 2017 Jun 6;25(6):939-944.e3. doi: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10.1016/j.str.2017.04.011. Epub 2017 May 25. PMID: 28552574.</w:t>
      </w:r>
    </w:p>
    <w:p>
      <w:pPr>
        <w:pStyle w:val="Normal.0"/>
        <w:spacing w:line="360" w:lineRule="auto"/>
        <w:rPr>
          <w:rFonts w:ascii="Calibri" w:cs="Calibri" w:hAnsi="Calibri" w:eastAsia="Calibri"/>
          <w:sz w:val="20"/>
          <w:szCs w:val="20"/>
          <w:lang w:val="en-US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sz w:val="20"/>
          <w:szCs w:val="20"/>
          <w:lang w:val="en-US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3: Mechaly AE, Sassoon N, Betton JM, Alzari PM. Segmental helical motions and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dynamical asymmetry modulate histidine kinase autophosphorylation. PLoS Biol.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2014 Jan 28;12(1):e1001776. doi: 10.1371/journal.pbio.1001776. PMID: 24492262;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PMCID: PMC3904827.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Ce projet s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inscrit-il dans la perspective d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une th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è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se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:</w:t>
      </w:r>
    </w:p>
    <w:p>
      <w:pPr>
        <w:pStyle w:val="Normal.0"/>
        <w:tabs>
          <w:tab w:val="left" w:pos="-1385"/>
          <w:tab w:val="left" w:pos="-1385"/>
          <w:tab w:val="left" w:pos="-1385"/>
        </w:tabs>
        <w:ind w:left="426" w:right="540" w:firstLine="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cs="Arial" w:hAnsi="Arial" w:eastAsia="Arial"/>
          <w:b w:val="1"/>
          <w:bCs w:val="1"/>
          <w:sz w:val="22"/>
          <w:szCs w:val="22"/>
          <w:rtl w:val="0"/>
        </w:rPr>
        <w:tab/>
        <w:t xml:space="preserve">oui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□</w:t>
      </w:r>
      <w:r>
        <w:rPr>
          <w:rFonts w:ascii="Wingdings" w:hAnsi="Wingdings"/>
          <w:rtl w:val="0"/>
          <w:lang w:val="en-US"/>
        </w:rPr>
        <w:t>x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</w:t>
        <w:tab/>
        <w:t xml:space="preserve">non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□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</w:t>
      </w:r>
    </w:p>
    <w:p>
      <w:pPr>
        <w:pStyle w:val="Normal.0"/>
        <w:tabs>
          <w:tab w:val="left" w:pos="-1385"/>
          <w:tab w:val="left" w:pos="-1385"/>
          <w:tab w:val="left" w:pos="-1385"/>
        </w:tabs>
        <w:ind w:right="54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-1385"/>
          <w:tab w:val="left" w:pos="-1385"/>
          <w:tab w:val="left" w:pos="-1385"/>
        </w:tabs>
        <w:ind w:right="54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si oui type de financement pr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vu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:</w:t>
      </w:r>
    </w:p>
    <w:p>
      <w:pPr>
        <w:pStyle w:val="Normal.0"/>
        <w:tabs>
          <w:tab w:val="left" w:pos="-1385"/>
          <w:tab w:val="left" w:pos="-1385"/>
          <w:tab w:val="left" w:pos="-1385"/>
          <w:tab w:val="left" w:pos="-1385"/>
          <w:tab w:val="left" w:pos="-1385"/>
          <w:tab w:val="left" w:pos="-1385"/>
          <w:tab w:val="left" w:pos="-1385"/>
          <w:tab w:val="left" w:pos="-1385"/>
        </w:tabs>
        <w:ind w:right="54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-1385"/>
          <w:tab w:val="left" w:pos="-1385"/>
          <w:tab w:val="left" w:pos="-1385"/>
          <w:tab w:val="left" w:pos="-1385"/>
          <w:tab w:val="left" w:pos="-1385"/>
          <w:tab w:val="left" w:pos="-1385"/>
          <w:tab w:val="left" w:pos="-1385"/>
          <w:tab w:val="left" w:pos="-1385"/>
        </w:tabs>
        <w:ind w:right="54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Ecole Doctorale de rattachement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:</w:t>
        <w:tab/>
      </w:r>
    </w:p>
    <w:p>
      <w:pPr>
        <w:pStyle w:val="Normal.0"/>
        <w:tabs>
          <w:tab w:val="left" w:pos="-1385"/>
          <w:tab w:val="left" w:pos="-1385"/>
          <w:tab w:val="left" w:pos="-1385"/>
          <w:tab w:val="left" w:pos="-1385"/>
          <w:tab w:val="left" w:pos="-1385"/>
          <w:tab w:val="left" w:pos="-1385"/>
          <w:tab w:val="left" w:pos="-1385"/>
          <w:tab w:val="left" w:pos="-1385"/>
        </w:tabs>
        <w:ind w:right="54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left" w:pos="-1385"/>
          <w:tab w:val="left" w:pos="-1385"/>
          <w:tab w:val="left" w:pos="-1385"/>
          <w:tab w:val="left" w:pos="-1385"/>
          <w:tab w:val="left" w:pos="-1385"/>
          <w:tab w:val="left" w:pos="-1385"/>
          <w:tab w:val="left" w:pos="-1385"/>
          <w:tab w:val="left" w:pos="-1385"/>
        </w:tabs>
        <w:ind w:right="540"/>
        <w:jc w:val="both"/>
        <w:rPr>
          <w:rFonts w:ascii="Arial" w:cs="Arial" w:hAnsi="Arial" w:eastAsia="Arial"/>
          <w:b w:val="1"/>
          <w:bCs w:val="1"/>
          <w:color w:val="2e74b5"/>
          <w:sz w:val="22"/>
          <w:szCs w:val="22"/>
          <w:u w:color="2e74b5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Acceptez-vous de diffuser l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offre en ligne sur notre</w:t>
      </w:r>
      <w:r>
        <w:rPr>
          <w:rFonts w:ascii="Arial" w:hAnsi="Arial"/>
          <w:b w:val="1"/>
          <w:bCs w:val="1"/>
          <w:color w:val="2e74b5"/>
          <w:sz w:val="22"/>
          <w:szCs w:val="22"/>
          <w:u w:color="2e74b5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site</w:t>
      </w:r>
      <w:r>
        <w:rPr>
          <w:rFonts w:ascii="Arial" w:hAnsi="Arial" w:hint="default"/>
          <w:color w:val="2e74b5"/>
          <w:sz w:val="22"/>
          <w:szCs w:val="22"/>
          <w:u w:color="2e74b5"/>
          <w:rtl w:val="0"/>
          <w:lang w:val="fr-FR"/>
        </w:rPr>
        <w:t> </w:t>
      </w:r>
      <w:r>
        <w:rPr>
          <w:rFonts w:ascii="Arial" w:hAnsi="Arial"/>
          <w:color w:val="2e74b5"/>
          <w:sz w:val="22"/>
          <w:szCs w:val="22"/>
          <w:u w:color="2e74b5"/>
          <w:rtl w:val="0"/>
          <w:lang w:val="fr-FR"/>
        </w:rPr>
        <w:t>https://www.master-bmc-universite-paris.fr/</w:t>
      </w:r>
      <w:r>
        <w:rPr>
          <w:rFonts w:ascii="Arial" w:cs="Arial" w:hAnsi="Arial" w:eastAsia="Arial"/>
          <w:b w:val="1"/>
          <w:bCs w:val="1"/>
          <w:color w:val="2e74b5"/>
          <w:sz w:val="22"/>
          <w:szCs w:val="22"/>
          <w:u w:color="2e74b5"/>
        </w:rPr>
        <w:tab/>
      </w:r>
    </w:p>
    <w:p>
      <w:pPr>
        <w:pStyle w:val="Normal.0"/>
        <w:tabs>
          <w:tab w:val="left" w:pos="-1385"/>
          <w:tab w:val="left" w:pos="-1385"/>
          <w:tab w:val="left" w:pos="-1385"/>
        </w:tabs>
        <w:ind w:left="426" w:right="540" w:firstLine="0"/>
        <w:jc w:val="both"/>
      </w:pPr>
      <w:r>
        <w:rPr>
          <w:rFonts w:ascii="Arial" w:cs="Arial" w:hAnsi="Arial" w:eastAsia="Arial"/>
          <w:b w:val="1"/>
          <w:bCs w:val="1"/>
          <w:sz w:val="22"/>
          <w:szCs w:val="22"/>
          <w:rtl w:val="0"/>
        </w:rPr>
        <w:tab/>
        <w:t xml:space="preserve">oui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□</w:t>
      </w:r>
      <w:r>
        <w:rPr>
          <w:rFonts w:ascii="Wingdings" w:hAnsi="Wingdings"/>
          <w:rtl w:val="0"/>
          <w:lang w:val="en-US"/>
        </w:rPr>
        <w:t>x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</w:t>
        <w:tab/>
        <w:t xml:space="preserve">non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□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851" w:right="851" w:bottom="85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  <w:font w:name="Courier New">
    <w:charset w:val="00"/>
    <w:family w:val="roman"/>
    <w:pitch w:val="default"/>
  </w:font>
  <w:font w:name="Helvetica">
    <w:charset w:val="00"/>
    <w:family w:val="roman"/>
    <w:pitch w:val="default"/>
  </w:font>
  <w:font w:name="Palatino">
    <w:charset w:val="00"/>
    <w:family w:val="roman"/>
    <w:pitch w:val="default"/>
  </w:font>
  <w:font w:name="Wingding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both"/>
      <w:rPr>
        <w:rFonts w:ascii="Arial" w:cs="Arial" w:hAnsi="Arial" w:eastAsia="Arial"/>
        <w:sz w:val="22"/>
        <w:szCs w:val="22"/>
      </w:rPr>
    </w:pPr>
  </w:p>
  <w:p>
    <w:pPr>
      <w:pStyle w:val="Normal.0"/>
      <w:jc w:val="both"/>
      <w:rPr>
        <w:rFonts w:ascii="Arial" w:cs="Arial" w:hAnsi="Arial" w:eastAsia="Arial"/>
        <w:sz w:val="22"/>
        <w:szCs w:val="22"/>
      </w:rPr>
    </w:pPr>
  </w:p>
  <w:p>
    <w:pPr>
      <w:pStyle w:val="Corps de texte"/>
      <w:spacing w:line="280" w:lineRule="exact"/>
    </w:pPr>
    <w:r>
      <w:rPr>
        <w:rtl w:val="0"/>
        <w:lang w:val="fr-FR"/>
      </w:rPr>
      <w:t xml:space="preserve">Fiche </w:t>
    </w:r>
    <w:r>
      <w:rPr>
        <w:rtl w:val="0"/>
        <w:lang w:val="fr-FR"/>
      </w:rPr>
      <w:t xml:space="preserve">à </w:t>
    </w:r>
    <w:r>
      <w:rPr>
        <w:rtl w:val="0"/>
        <w:lang w:val="fr-FR"/>
      </w:rPr>
      <w:t>retourner par e-mail au Master (UFR des Sciences du Vivant, Universit</w:t>
    </w:r>
    <w:r>
      <w:rPr>
        <w:rtl w:val="0"/>
        <w:lang w:val="fr-FR"/>
      </w:rPr>
      <w:t xml:space="preserve">é </w:t>
    </w:r>
    <w:r>
      <w:rPr>
        <w:rtl w:val="0"/>
        <w:lang w:val="fr-FR"/>
      </w:rPr>
      <w:t xml:space="preserve">de Paris), </w:t>
    </w:r>
  </w:p>
  <w:p>
    <w:pPr>
      <w:pStyle w:val="Corps de texte"/>
      <w:spacing w:line="280" w:lineRule="exact"/>
    </w:pPr>
    <w:r>
      <w:rPr>
        <w:rtl w:val="0"/>
        <w:lang w:val="fr-FR"/>
      </w:rPr>
      <w:t>Sabrina.pichon@u-paris.fr</w:t>
    </w:r>
  </w:p>
  <w:p>
    <w:pPr>
      <w:pStyle w:val="Pied de page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itre 6"/>
    </w:pPr>
    <w:r>
      <w:rPr>
        <w:rtl w:val="0"/>
      </w:rPr>
      <w:t>Ann</w:t>
    </w:r>
    <w:r>
      <w:rPr>
        <w:rtl w:val="0"/>
      </w:rPr>
      <w:t>é</w:t>
    </w:r>
    <w:r>
      <w:rPr>
        <w:rtl w:val="0"/>
      </w:rPr>
      <w:t>e Universitaire 2021-2022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re 6">
    <w:name w:val="Titre 6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0" w:lineRule="exact"/>
      <w:ind w:left="0" w:right="0" w:firstLine="0"/>
      <w:jc w:val="center"/>
      <w:outlineLvl w:val="5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Corps de texte">
    <w:name w:val="Corps de texte"/>
    <w:next w:val="Corps de tex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" w:cs="Arial Unicode MS" w:hAnsi="Times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Pied de page">
    <w:name w:val="Pied de page"/>
    <w:next w:val="Pied de pag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Titre 3">
    <w:name w:val="Titre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tLeast"/>
      <w:ind w:left="0" w:right="0" w:firstLine="0"/>
      <w:jc w:val="center"/>
      <w:outlineLvl w:val="2"/>
    </w:pPr>
    <w:rPr>
      <w:rFonts w:ascii="Helvetica" w:cs="Arial Unicode MS" w:hAnsi="Helvetica" w:eastAsia="Arial Unicode MS"/>
      <w:b w:val="1"/>
      <w:bCs w:val="1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Titre 1">
    <w:name w:val="Titre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708"/>
      <w:jc w:val="left"/>
      <w:outlineLvl w:val="0"/>
    </w:pPr>
    <w:rPr>
      <w:rFonts w:ascii="Times" w:cs="Arial Unicode MS" w:hAnsi="Time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Retrait corps de texte 2">
    <w:name w:val="Retrait corps de texte 2"/>
    <w:next w:val="Retrait corps de texte 2"/>
    <w:pPr>
      <w:keepNext w:val="0"/>
      <w:keepLines w:val="0"/>
      <w:pageBreakBefore w:val="0"/>
      <w:widowControl w:val="1"/>
      <w:shd w:val="clear" w:color="auto" w:fill="auto"/>
      <w:tabs>
        <w:tab w:val="center" w:pos="9600"/>
      </w:tabs>
      <w:suppressAutoHyphens w:val="0"/>
      <w:bidi w:val="0"/>
      <w:spacing w:before="0" w:after="0" w:line="360" w:lineRule="atLeast"/>
      <w:ind w:left="567" w:right="0" w:firstLine="0"/>
      <w:jc w:val="left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